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5428" w14:textId="77777777" w:rsidR="00762936" w:rsidRPr="00AB2795" w:rsidRDefault="00762936" w:rsidP="00762936">
      <w:pPr>
        <w:pStyle w:val="Heading2"/>
        <w:spacing w:before="360" w:after="80"/>
        <w:rPr>
          <w:rFonts w:ascii="Times New Roman" w:hAnsi="Times New Roman" w:cs="Times New Roman"/>
          <w:color w:val="000000"/>
          <w:sz w:val="22"/>
          <w:szCs w:val="22"/>
        </w:rPr>
      </w:pPr>
      <w:r w:rsidRPr="00AB2795">
        <w:rPr>
          <w:rFonts w:ascii="Times New Roman" w:hAnsi="Times New Roman" w:cs="Times New Roman"/>
          <w:color w:val="000000"/>
          <w:sz w:val="22"/>
          <w:szCs w:val="22"/>
        </w:rPr>
        <w:t>PRIVACY POLICY FOR AI MEDIQ</w:t>
      </w:r>
    </w:p>
    <w:p w14:paraId="5CD92E6F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1. General Provisions / Definitions</w:t>
      </w:r>
    </w:p>
    <w:p w14:paraId="12D731A4" w14:textId="77777777" w:rsidR="00762936" w:rsidRPr="00AB2795" w:rsidRDefault="00762936" w:rsidP="00762936">
      <w:pPr>
        <w:pStyle w:val="NormalWeb"/>
        <w:spacing w:before="240" w:beforeAutospacing="0" w:after="24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This Privacy Policy sets out the rules for the processing of personal data by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b/>
          <w:bCs/>
          <w:color w:val="000000"/>
          <w:sz w:val="22"/>
          <w:szCs w:val="22"/>
          <w:lang w:val="en-US"/>
        </w:rPr>
        <w:t xml:space="preserve">Ai </w:t>
      </w:r>
      <w:proofErr w:type="spellStart"/>
      <w:r w:rsidRPr="00AB2795">
        <w:rPr>
          <w:b/>
          <w:bCs/>
          <w:color w:val="000000"/>
          <w:sz w:val="22"/>
          <w:szCs w:val="22"/>
          <w:lang w:val="en-US"/>
        </w:rPr>
        <w:t>Mediq</w:t>
      </w:r>
      <w:proofErr w:type="spellEnd"/>
      <w:r w:rsidRPr="00AB2795">
        <w:rPr>
          <w:b/>
          <w:bCs/>
          <w:color w:val="000000"/>
          <w:sz w:val="22"/>
          <w:szCs w:val="22"/>
          <w:lang w:val="en-US"/>
        </w:rPr>
        <w:t xml:space="preserve"> S.A.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>(hereinafter: “</w:t>
      </w:r>
      <w:r w:rsidRPr="00AB2795">
        <w:rPr>
          <w:b/>
          <w:bCs/>
          <w:color w:val="000000"/>
          <w:sz w:val="22"/>
          <w:szCs w:val="22"/>
          <w:lang w:val="en-US"/>
        </w:rPr>
        <w:t xml:space="preserve">Ai </w:t>
      </w:r>
      <w:proofErr w:type="spellStart"/>
      <w:r w:rsidRPr="00AB2795">
        <w:rPr>
          <w:b/>
          <w:bCs/>
          <w:color w:val="000000"/>
          <w:sz w:val="22"/>
          <w:szCs w:val="22"/>
          <w:lang w:val="en-US"/>
        </w:rPr>
        <w:t>Mediq</w:t>
      </w:r>
      <w:proofErr w:type="spellEnd"/>
      <w:r w:rsidRPr="00AB2795">
        <w:rPr>
          <w:color w:val="000000"/>
          <w:sz w:val="22"/>
          <w:szCs w:val="22"/>
          <w:lang w:val="en-US"/>
        </w:rPr>
        <w:t>”, “</w:t>
      </w:r>
      <w:r w:rsidRPr="00AB2795">
        <w:rPr>
          <w:b/>
          <w:bCs/>
          <w:color w:val="000000"/>
          <w:sz w:val="22"/>
          <w:szCs w:val="22"/>
          <w:lang w:val="en-US"/>
        </w:rPr>
        <w:t>Controller</w:t>
      </w:r>
      <w:r w:rsidRPr="00AB2795">
        <w:rPr>
          <w:color w:val="000000"/>
          <w:sz w:val="22"/>
          <w:szCs w:val="22"/>
          <w:lang w:val="en-US"/>
        </w:rPr>
        <w:t>”, “</w:t>
      </w:r>
      <w:r w:rsidRPr="00AB2795">
        <w:rPr>
          <w:b/>
          <w:bCs/>
          <w:color w:val="000000"/>
          <w:sz w:val="22"/>
          <w:szCs w:val="22"/>
          <w:lang w:val="en-US"/>
        </w:rPr>
        <w:t>we</w:t>
      </w:r>
      <w:r w:rsidRPr="00AB2795">
        <w:rPr>
          <w:color w:val="000000"/>
          <w:sz w:val="22"/>
          <w:szCs w:val="22"/>
          <w:lang w:val="en-US"/>
        </w:rPr>
        <w:t xml:space="preserve">”) in connection with users’ (natural persons’) use of our websites, online services, contact forms, participation in R&amp;D activities, marketing initiatives, and other activities related to Ai </w:t>
      </w:r>
      <w:proofErr w:type="spellStart"/>
      <w:r w:rsidRPr="00AB2795">
        <w:rPr>
          <w:color w:val="000000"/>
          <w:sz w:val="22"/>
          <w:szCs w:val="22"/>
          <w:lang w:val="en-US"/>
        </w:rPr>
        <w:t>Mediq’s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operations.</w:t>
      </w:r>
    </w:p>
    <w:p w14:paraId="1D8DA067" w14:textId="77777777" w:rsidR="00762936" w:rsidRPr="00AB2795" w:rsidRDefault="00762936" w:rsidP="00762936">
      <w:pPr>
        <w:pStyle w:val="Normal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Controller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 xml:space="preserve">– Ai </w:t>
      </w:r>
      <w:proofErr w:type="spellStart"/>
      <w:r w:rsidRPr="00AB2795">
        <w:rPr>
          <w:color w:val="000000"/>
          <w:sz w:val="22"/>
          <w:szCs w:val="22"/>
          <w:lang w:val="en-US"/>
        </w:rPr>
        <w:t>Mediq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S.A., registered at 19, rue de </w:t>
      </w:r>
      <w:proofErr w:type="spellStart"/>
      <w:r w:rsidRPr="00AB2795">
        <w:rPr>
          <w:color w:val="000000"/>
          <w:sz w:val="22"/>
          <w:szCs w:val="22"/>
          <w:lang w:val="en-US"/>
        </w:rPr>
        <w:t>Bitbourg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, L-1273 Luxembourg, Trade Register No. </w:t>
      </w:r>
      <w:r w:rsidRPr="00AB2795">
        <w:rPr>
          <w:color w:val="000000"/>
          <w:sz w:val="22"/>
          <w:szCs w:val="22"/>
        </w:rPr>
        <w:t>B155029, VAT: LU 24203241.</w:t>
      </w:r>
    </w:p>
    <w:p w14:paraId="5FDB33D5" w14:textId="77777777" w:rsidR="00762936" w:rsidRPr="00AB2795" w:rsidRDefault="00762936" w:rsidP="00762936">
      <w:pPr>
        <w:pStyle w:val="Normal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Personal data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>– any information relating to an identified or identifiable natural person (e.g. name, email address, phone number, IP address, online identifiers).</w:t>
      </w:r>
    </w:p>
    <w:p w14:paraId="52226ECB" w14:textId="77777777" w:rsidR="00762936" w:rsidRPr="00AB2795" w:rsidRDefault="00762936" w:rsidP="00762936">
      <w:pPr>
        <w:pStyle w:val="Normal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Processing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 xml:space="preserve">– any operation performed on personal data, including collection, storage, use, modification, disclosure, deletion, </w:t>
      </w:r>
      <w:proofErr w:type="spellStart"/>
      <w:r w:rsidRPr="00AB2795">
        <w:rPr>
          <w:color w:val="000000"/>
          <w:sz w:val="22"/>
          <w:szCs w:val="22"/>
          <w:lang w:val="en-US"/>
        </w:rPr>
        <w:t>anonymisation</w:t>
      </w:r>
      <w:proofErr w:type="spellEnd"/>
      <w:r w:rsidRPr="00AB2795">
        <w:rPr>
          <w:color w:val="000000"/>
          <w:sz w:val="22"/>
          <w:szCs w:val="22"/>
          <w:lang w:val="en-US"/>
        </w:rPr>
        <w:t>.</w:t>
      </w:r>
    </w:p>
    <w:p w14:paraId="5D47FACD" w14:textId="77777777" w:rsidR="00762936" w:rsidRPr="00AB2795" w:rsidRDefault="00762936" w:rsidP="00762936">
      <w:pPr>
        <w:pStyle w:val="Normal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Processor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>– an entity that processes personal data on behalf of the Controller (e.g. IT service providers, analytics platforms, agencies).</w:t>
      </w:r>
    </w:p>
    <w:p w14:paraId="05D9CD45" w14:textId="1E4F24EB" w:rsidR="00762936" w:rsidRPr="00AB2795" w:rsidRDefault="00762936" w:rsidP="00762936">
      <w:pPr>
        <w:pStyle w:val="NormalWeb"/>
        <w:numPr>
          <w:ilvl w:val="0"/>
          <w:numId w:val="10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User / Data subject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Pr="00AB2795">
        <w:rPr>
          <w:color w:val="000000"/>
          <w:sz w:val="22"/>
          <w:szCs w:val="22"/>
          <w:lang w:val="en-US"/>
        </w:rPr>
        <w:t xml:space="preserve">– a natural person visiting Ai </w:t>
      </w:r>
      <w:proofErr w:type="spellStart"/>
      <w:r w:rsidRPr="00AB2795">
        <w:rPr>
          <w:color w:val="000000"/>
          <w:sz w:val="22"/>
          <w:szCs w:val="22"/>
          <w:lang w:val="en-US"/>
        </w:rPr>
        <w:t>Mediq’s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websites, using services, or filling out forms.</w:t>
      </w:r>
    </w:p>
    <w:p w14:paraId="0FA48665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2. Use of the Website</w:t>
      </w:r>
    </w:p>
    <w:p w14:paraId="130AD465" w14:textId="77777777" w:rsidR="00762936" w:rsidRPr="00AB2795" w:rsidRDefault="00762936" w:rsidP="00762936">
      <w:pPr>
        <w:pStyle w:val="NormalWeb"/>
        <w:numPr>
          <w:ilvl w:val="0"/>
          <w:numId w:val="13"/>
        </w:numPr>
        <w:spacing w:before="120" w:beforeAutospacing="0" w:after="12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When Users access and use the Website, the Controller collects data necessary to provide individual services and information about user activity.</w:t>
      </w:r>
    </w:p>
    <w:p w14:paraId="52E641DF" w14:textId="77777777" w:rsidR="00762936" w:rsidRPr="00AB2795" w:rsidRDefault="00762936" w:rsidP="00762936">
      <w:pPr>
        <w:pStyle w:val="NormalWeb"/>
        <w:numPr>
          <w:ilvl w:val="0"/>
          <w:numId w:val="13"/>
        </w:numPr>
        <w:spacing w:before="120" w:beforeAutospacing="0" w:after="12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To use the Website, the User must have a device with web-browsing software and Internet access. Access is possible through commonly used browsers.</w:t>
      </w:r>
    </w:p>
    <w:p w14:paraId="676B9156" w14:textId="77777777" w:rsidR="00762936" w:rsidRPr="00AB2795" w:rsidRDefault="00762936" w:rsidP="00762936">
      <w:pPr>
        <w:pStyle w:val="NormalWeb"/>
        <w:numPr>
          <w:ilvl w:val="0"/>
          <w:numId w:val="13"/>
        </w:numPr>
        <w:spacing w:before="12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The Website may contain links to third-party sites, which are subject to their own privacy policies.</w:t>
      </w:r>
    </w:p>
    <w:p w14:paraId="51509833" w14:textId="71A87A5F" w:rsidR="00762936" w:rsidRPr="00AB2795" w:rsidRDefault="00762936" w:rsidP="00762936">
      <w:pPr>
        <w:pStyle w:val="NormalWeb"/>
        <w:numPr>
          <w:ilvl w:val="0"/>
          <w:numId w:val="13"/>
        </w:numPr>
        <w:spacing w:before="12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The Controller may collect Users’ IP addresses for diagnosing technical issues, generating statistics, administering and improving the Website.</w:t>
      </w:r>
    </w:p>
    <w:p w14:paraId="1BEBBF23" w14:textId="5F8725AB" w:rsidR="00762936" w:rsidRPr="00AB2795" w:rsidRDefault="00762936" w:rsidP="00762936">
      <w:pPr>
        <w:rPr>
          <w:rFonts w:ascii="Times New Roman" w:hAnsi="Times New Roman" w:cs="Times New Roman"/>
          <w:color w:val="000000"/>
        </w:rPr>
      </w:pPr>
    </w:p>
    <w:p w14:paraId="3E1056B1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3. Purposes and Legal Bases for Data Processing</w:t>
      </w:r>
    </w:p>
    <w:tbl>
      <w:tblPr>
        <w:tblW w:w="0" w:type="auto"/>
        <w:tblBorders>
          <w:top w:val="single" w:sz="12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0"/>
        <w:gridCol w:w="2795"/>
        <w:gridCol w:w="3115"/>
      </w:tblGrid>
      <w:tr w:rsidR="00762936" w:rsidRPr="00AB2795" w14:paraId="39216615" w14:textId="77777777" w:rsidTr="00762936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A87E4" w14:textId="77777777" w:rsidR="00762936" w:rsidRPr="00AB2795" w:rsidRDefault="0076293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AB2795">
              <w:rPr>
                <w:b/>
                <w:bCs/>
                <w:sz w:val="22"/>
                <w:szCs w:val="22"/>
              </w:rPr>
              <w:t>Purpose</w:t>
            </w:r>
            <w:proofErr w:type="spellEnd"/>
            <w:r w:rsidRPr="00AB2795">
              <w:rPr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AB2795">
              <w:rPr>
                <w:b/>
                <w:bCs/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BE329" w14:textId="77777777" w:rsidR="00762936" w:rsidRPr="00AB2795" w:rsidRDefault="0076293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AB2795">
              <w:rPr>
                <w:b/>
                <w:bCs/>
                <w:sz w:val="22"/>
                <w:szCs w:val="22"/>
              </w:rPr>
              <w:t>Example</w:t>
            </w:r>
            <w:proofErr w:type="spellEnd"/>
            <w:r w:rsidRPr="00AB2795">
              <w:rPr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6719E" w14:textId="77777777" w:rsidR="00762936" w:rsidRPr="00AB2795" w:rsidRDefault="00762936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AB2795">
              <w:rPr>
                <w:b/>
                <w:bCs/>
                <w:sz w:val="22"/>
                <w:szCs w:val="22"/>
              </w:rPr>
              <w:t>Legal</w:t>
            </w:r>
            <w:proofErr w:type="spellEnd"/>
            <w:r w:rsidRPr="00AB279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B2795">
              <w:rPr>
                <w:b/>
                <w:bCs/>
                <w:sz w:val="22"/>
                <w:szCs w:val="22"/>
              </w:rPr>
              <w:t>basis</w:t>
            </w:r>
            <w:proofErr w:type="spellEnd"/>
          </w:p>
        </w:tc>
      </w:tr>
      <w:tr w:rsidR="00762936" w:rsidRPr="00AB2795" w14:paraId="327CA433" w14:textId="77777777" w:rsidTr="00762936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6097F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1. Provision of electronic services (e.g. website content, forms)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72D1E" w14:textId="64E833FF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Email address, name, technical data (IP address, browser type)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ACBE3" w14:textId="495E6E53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Performance of a contract or pre-contractual steps (Art. 6(1)(b) GDPR)</w:t>
            </w:r>
          </w:p>
        </w:tc>
      </w:tr>
      <w:tr w:rsidR="00762936" w:rsidRPr="00AB2795" w14:paraId="7DEB6344" w14:textId="77777777" w:rsidTr="00762936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3FF1B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B2795">
              <w:rPr>
                <w:sz w:val="22"/>
                <w:szCs w:val="22"/>
              </w:rPr>
              <w:lastRenderedPageBreak/>
              <w:t xml:space="preserve">2. Handling </w:t>
            </w:r>
            <w:proofErr w:type="spellStart"/>
            <w:r w:rsidRPr="00AB2795">
              <w:rPr>
                <w:sz w:val="22"/>
                <w:szCs w:val="22"/>
              </w:rPr>
              <w:t>contact</w:t>
            </w:r>
            <w:proofErr w:type="spellEnd"/>
            <w:r w:rsidRPr="00AB2795">
              <w:rPr>
                <w:sz w:val="22"/>
                <w:szCs w:val="22"/>
              </w:rPr>
              <w:t xml:space="preserve"> (</w:t>
            </w:r>
            <w:proofErr w:type="spellStart"/>
            <w:r w:rsidRPr="00AB2795">
              <w:rPr>
                <w:sz w:val="22"/>
                <w:szCs w:val="22"/>
              </w:rPr>
              <w:t>forms</w:t>
            </w:r>
            <w:proofErr w:type="spellEnd"/>
            <w:r w:rsidRPr="00AB2795">
              <w:rPr>
                <w:sz w:val="22"/>
                <w:szCs w:val="22"/>
              </w:rPr>
              <w:t xml:space="preserve">, </w:t>
            </w:r>
            <w:proofErr w:type="spellStart"/>
            <w:r w:rsidRPr="00AB2795">
              <w:rPr>
                <w:sz w:val="22"/>
                <w:szCs w:val="22"/>
              </w:rPr>
              <w:t>inquiries</w:t>
            </w:r>
            <w:proofErr w:type="spellEnd"/>
            <w:r w:rsidRPr="00AB2795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EB30E" w14:textId="66A5F8A1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Name, email, phone, message content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810DB" w14:textId="17D22D9D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Performance of a contract / steps (Art. 6(1)(b)) or legitimate interest (Art. 6(1)(f))</w:t>
            </w:r>
          </w:p>
        </w:tc>
      </w:tr>
      <w:tr w:rsidR="00762936" w:rsidRPr="00AB2795" w14:paraId="05AB3229" w14:textId="77777777" w:rsidTr="00762936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C335F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AB2795">
              <w:rPr>
                <w:sz w:val="22"/>
                <w:szCs w:val="22"/>
              </w:rPr>
              <w:t>3. Marketing (</w:t>
            </w:r>
            <w:proofErr w:type="spellStart"/>
            <w:r w:rsidRPr="00AB2795">
              <w:rPr>
                <w:sz w:val="22"/>
                <w:szCs w:val="22"/>
              </w:rPr>
              <w:t>e.g</w:t>
            </w:r>
            <w:proofErr w:type="spellEnd"/>
            <w:r w:rsidRPr="00AB2795">
              <w:rPr>
                <w:sz w:val="22"/>
                <w:szCs w:val="22"/>
              </w:rPr>
              <w:t xml:space="preserve">. </w:t>
            </w:r>
            <w:proofErr w:type="spellStart"/>
            <w:r w:rsidRPr="00AB2795">
              <w:rPr>
                <w:sz w:val="22"/>
                <w:szCs w:val="22"/>
              </w:rPr>
              <w:t>newsletters</w:t>
            </w:r>
            <w:proofErr w:type="spellEnd"/>
            <w:r w:rsidRPr="00AB2795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B8D2A" w14:textId="64E11198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Email, name, preferences</w:t>
            </w:r>
            <w:r w:rsidR="00FC4EF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3734E" w14:textId="489A616B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proofErr w:type="spellStart"/>
            <w:r w:rsidRPr="00AB2795">
              <w:rPr>
                <w:sz w:val="22"/>
                <w:szCs w:val="22"/>
                <w:lang w:val="en-US"/>
              </w:rPr>
              <w:t>Cnsent</w:t>
            </w:r>
            <w:proofErr w:type="spellEnd"/>
            <w:r w:rsidRPr="00AB2795">
              <w:rPr>
                <w:sz w:val="22"/>
                <w:szCs w:val="22"/>
                <w:lang w:val="en-US"/>
              </w:rPr>
              <w:t xml:space="preserve"> (Art. 6(1)(a)) or legitimate interest (traditional marketing)</w:t>
            </w:r>
          </w:p>
        </w:tc>
      </w:tr>
      <w:tr w:rsidR="00762936" w:rsidRPr="00AB2795" w14:paraId="6ADE64AB" w14:textId="77777777" w:rsidTr="00762936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FF290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4. Statistical analysis and traffic measurement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94378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IP address, device data, visit duration, page paths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E4588" w14:textId="16E8C798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B2795">
              <w:rPr>
                <w:sz w:val="22"/>
                <w:szCs w:val="22"/>
              </w:rPr>
              <w:t>Legitimate</w:t>
            </w:r>
            <w:proofErr w:type="spellEnd"/>
            <w:r w:rsidRPr="00AB2795">
              <w:rPr>
                <w:sz w:val="22"/>
                <w:szCs w:val="22"/>
              </w:rPr>
              <w:t xml:space="preserve"> </w:t>
            </w:r>
            <w:proofErr w:type="spellStart"/>
            <w:r w:rsidRPr="00AB2795">
              <w:rPr>
                <w:sz w:val="22"/>
                <w:szCs w:val="22"/>
              </w:rPr>
              <w:t>interest</w:t>
            </w:r>
            <w:proofErr w:type="spellEnd"/>
            <w:r w:rsidRPr="00AB2795">
              <w:rPr>
                <w:sz w:val="22"/>
                <w:szCs w:val="22"/>
              </w:rPr>
              <w:t xml:space="preserve"> (Art. 6(1)(f))</w:t>
            </w:r>
          </w:p>
        </w:tc>
      </w:tr>
      <w:tr w:rsidR="00762936" w:rsidRPr="00AB2795" w14:paraId="4245C363" w14:textId="77777777" w:rsidTr="00762936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8F478" w14:textId="77777777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5. Establishing, exercising or defending legal claims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7A5A3" w14:textId="31F21063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r w:rsidRPr="00AB2795">
              <w:rPr>
                <w:sz w:val="22"/>
                <w:szCs w:val="22"/>
                <w:lang w:val="en-US"/>
              </w:rPr>
              <w:t>Contact data, communication history, documents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A5CC6" w14:textId="0F6B0616" w:rsidR="00762936" w:rsidRPr="00AB2795" w:rsidRDefault="00762936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AB2795">
              <w:rPr>
                <w:sz w:val="22"/>
                <w:szCs w:val="22"/>
              </w:rPr>
              <w:t>Legitimate</w:t>
            </w:r>
            <w:proofErr w:type="spellEnd"/>
            <w:r w:rsidRPr="00AB2795">
              <w:rPr>
                <w:sz w:val="22"/>
                <w:szCs w:val="22"/>
              </w:rPr>
              <w:t xml:space="preserve"> </w:t>
            </w:r>
            <w:proofErr w:type="spellStart"/>
            <w:r w:rsidRPr="00AB2795">
              <w:rPr>
                <w:sz w:val="22"/>
                <w:szCs w:val="22"/>
              </w:rPr>
              <w:t>interest</w:t>
            </w:r>
            <w:proofErr w:type="spellEnd"/>
            <w:r w:rsidRPr="00AB2795">
              <w:rPr>
                <w:sz w:val="22"/>
                <w:szCs w:val="22"/>
              </w:rPr>
              <w:t xml:space="preserve"> (Art. 6(1)(f))</w:t>
            </w:r>
          </w:p>
        </w:tc>
      </w:tr>
    </w:tbl>
    <w:p w14:paraId="18F6C73B" w14:textId="37E90E07" w:rsidR="00762936" w:rsidRPr="00AB2795" w:rsidRDefault="00762936" w:rsidP="00762936">
      <w:pPr>
        <w:pStyle w:val="NormalWeb"/>
        <w:spacing w:before="240" w:beforeAutospacing="0" w:after="24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Where processing is based on consent, Users may withdraw it at any time, without affecting the lawfulness of processing prior to withdrawal.</w:t>
      </w:r>
    </w:p>
    <w:p w14:paraId="4E45EEEF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4. Categories of Personal Data</w:t>
      </w:r>
    </w:p>
    <w:p w14:paraId="6BEC321F" w14:textId="77777777" w:rsidR="00762936" w:rsidRPr="00AB2795" w:rsidRDefault="00762936" w:rsidP="00762936">
      <w:pPr>
        <w:pStyle w:val="NormalWeb"/>
        <w:spacing w:before="120" w:beforeAutospacing="0" w:after="240" w:afterAutospacing="0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Depending on the function or service, Ai </w:t>
      </w:r>
      <w:proofErr w:type="spellStart"/>
      <w:r w:rsidRPr="00AB2795">
        <w:rPr>
          <w:color w:val="000000"/>
          <w:sz w:val="22"/>
          <w:szCs w:val="22"/>
          <w:lang w:val="en-US"/>
        </w:rPr>
        <w:t>Mediq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may process:</w:t>
      </w:r>
    </w:p>
    <w:p w14:paraId="79F96AD5" w14:textId="77777777" w:rsidR="00762936" w:rsidRPr="00AB2795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ind w:left="714" w:hanging="357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identification data (e.g.name, address, date of birth),</w:t>
      </w:r>
    </w:p>
    <w:p w14:paraId="2AC16BEC" w14:textId="77777777" w:rsidR="00762936" w:rsidRPr="00AB2795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textAlignment w:val="baseline"/>
        <w:rPr>
          <w:color w:val="000000"/>
          <w:sz w:val="22"/>
          <w:szCs w:val="22"/>
          <w:lang w:val="en-US"/>
        </w:rPr>
      </w:pPr>
      <w:proofErr w:type="spellStart"/>
      <w:r w:rsidRPr="00AB2795">
        <w:rPr>
          <w:color w:val="000000"/>
          <w:sz w:val="22"/>
          <w:szCs w:val="22"/>
        </w:rPr>
        <w:t>contact</w:t>
      </w:r>
      <w:proofErr w:type="spellEnd"/>
      <w:r w:rsidRPr="00AB2795">
        <w:rPr>
          <w:color w:val="000000"/>
          <w:sz w:val="22"/>
          <w:szCs w:val="22"/>
        </w:rPr>
        <w:t xml:space="preserve"> data (email, </w:t>
      </w:r>
      <w:proofErr w:type="spellStart"/>
      <w:r w:rsidRPr="00AB2795">
        <w:rPr>
          <w:color w:val="000000"/>
          <w:sz w:val="22"/>
          <w:szCs w:val="22"/>
        </w:rPr>
        <w:t>phone</w:t>
      </w:r>
      <w:proofErr w:type="spellEnd"/>
      <w:r w:rsidRPr="00AB2795">
        <w:rPr>
          <w:color w:val="000000"/>
          <w:sz w:val="22"/>
          <w:szCs w:val="22"/>
        </w:rPr>
        <w:t>),</w:t>
      </w:r>
    </w:p>
    <w:p w14:paraId="16232624" w14:textId="77777777" w:rsidR="00762936" w:rsidRPr="00AB2795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technical / device data (IP address, browser type, OS, logs),</w:t>
      </w:r>
    </w:p>
    <w:p w14:paraId="2AE5A1E7" w14:textId="77777777" w:rsidR="00762936" w:rsidRPr="00AB2795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usage data (activity, visited pages),</w:t>
      </w:r>
    </w:p>
    <w:p w14:paraId="6F447EAC" w14:textId="77777777" w:rsidR="00762936" w:rsidRPr="00AB2795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</w:rPr>
        <w:t>marketing data (</w:t>
      </w:r>
      <w:proofErr w:type="spellStart"/>
      <w:r w:rsidRPr="00AB2795">
        <w:rPr>
          <w:color w:val="000000"/>
          <w:sz w:val="22"/>
          <w:szCs w:val="22"/>
        </w:rPr>
        <w:t>preferences</w:t>
      </w:r>
      <w:proofErr w:type="spellEnd"/>
      <w:r w:rsidRPr="00AB2795">
        <w:rPr>
          <w:color w:val="000000"/>
          <w:sz w:val="22"/>
          <w:szCs w:val="22"/>
        </w:rPr>
        <w:t xml:space="preserve">, </w:t>
      </w:r>
      <w:proofErr w:type="spellStart"/>
      <w:r w:rsidRPr="00AB2795">
        <w:rPr>
          <w:color w:val="000000"/>
          <w:sz w:val="22"/>
          <w:szCs w:val="22"/>
        </w:rPr>
        <w:t>consents</w:t>
      </w:r>
      <w:proofErr w:type="spellEnd"/>
      <w:r w:rsidRPr="00AB2795">
        <w:rPr>
          <w:color w:val="000000"/>
          <w:sz w:val="22"/>
          <w:szCs w:val="22"/>
        </w:rPr>
        <w:t>),</w:t>
      </w:r>
    </w:p>
    <w:p w14:paraId="41A697D2" w14:textId="76EF4512" w:rsidR="00762936" w:rsidRPr="00A04AB7" w:rsidRDefault="00762936" w:rsidP="00762936">
      <w:pPr>
        <w:pStyle w:val="NormalWeb"/>
        <w:numPr>
          <w:ilvl w:val="0"/>
          <w:numId w:val="14"/>
        </w:numPr>
        <w:spacing w:before="120" w:beforeAutospacing="0" w:after="0" w:afterAutospacing="0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any other data voluntarily provided (e.g. in forms, surveys).</w:t>
      </w:r>
    </w:p>
    <w:p w14:paraId="2F1B34FF" w14:textId="02CC04A1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 xml:space="preserve">5. Data Recipients </w:t>
      </w:r>
    </w:p>
    <w:p w14:paraId="44FEF269" w14:textId="77777777" w:rsidR="00762936" w:rsidRPr="00AB2795" w:rsidRDefault="00762936" w:rsidP="00AB2795">
      <w:pPr>
        <w:pStyle w:val="NormalWeb"/>
        <w:numPr>
          <w:ilvl w:val="0"/>
          <w:numId w:val="15"/>
        </w:numPr>
        <w:spacing w:before="120" w:beforeAutospacing="0" w:after="120" w:afterAutospacing="0"/>
        <w:ind w:left="714" w:hanging="357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Personal data may be entrusted to processors (e.g. IT providers, hosting services, analytics companies) under data processing agreements ensuring adequate protection.</w:t>
      </w:r>
    </w:p>
    <w:p w14:paraId="712D69EF" w14:textId="77777777" w:rsidR="00AB2795" w:rsidRPr="00AB2795" w:rsidRDefault="00762936" w:rsidP="00AB2795">
      <w:pPr>
        <w:pStyle w:val="NormalWeb"/>
        <w:numPr>
          <w:ilvl w:val="0"/>
          <w:numId w:val="15"/>
        </w:numPr>
        <w:spacing w:before="120" w:beforeAutospacing="0" w:after="120" w:afterAutospacing="0"/>
        <w:ind w:left="714" w:hanging="357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When data is transferred outside the EEA, the Controller ensures appropriate safeguards, e.g. standard contractual clauses approved by the European Commission.</w:t>
      </w:r>
    </w:p>
    <w:p w14:paraId="0944C376" w14:textId="685DCA79" w:rsidR="00762936" w:rsidRPr="00AB2795" w:rsidRDefault="00762936" w:rsidP="00AB2795">
      <w:pPr>
        <w:pStyle w:val="NormalWeb"/>
        <w:numPr>
          <w:ilvl w:val="0"/>
          <w:numId w:val="15"/>
        </w:numPr>
        <w:spacing w:before="120" w:beforeAutospacing="0" w:after="120" w:afterAutospacing="0"/>
        <w:ind w:left="714" w:hanging="357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Data may also be disclosed to public authorities as required by law or to defend the Controller’s rights.</w:t>
      </w:r>
    </w:p>
    <w:p w14:paraId="2E0B499B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6. Data Retention Period</w:t>
      </w:r>
    </w:p>
    <w:p w14:paraId="4E035BB8" w14:textId="77777777" w:rsidR="00AB2795" w:rsidRPr="00AB2795" w:rsidRDefault="00762936" w:rsidP="00AB2795">
      <w:pPr>
        <w:pStyle w:val="NormalWeb"/>
        <w:numPr>
          <w:ilvl w:val="0"/>
          <w:numId w:val="16"/>
        </w:numPr>
        <w:spacing w:before="120" w:beforeAutospacing="0" w:after="12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Personal data is stored for as long as necessary to achieve the purposes for which it was collected. Once that period expires, data will be deleted or </w:t>
      </w:r>
      <w:proofErr w:type="spellStart"/>
      <w:r w:rsidRPr="00AB2795">
        <w:rPr>
          <w:color w:val="000000"/>
          <w:sz w:val="22"/>
          <w:szCs w:val="22"/>
          <w:lang w:val="en-US"/>
        </w:rPr>
        <w:t>anonymised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unless further retention is required by law.</w:t>
      </w:r>
    </w:p>
    <w:p w14:paraId="306A1653" w14:textId="7B2B7A65" w:rsidR="00762936" w:rsidRPr="00AB2795" w:rsidRDefault="00762936" w:rsidP="00AB2795">
      <w:pPr>
        <w:pStyle w:val="NormalWeb"/>
        <w:numPr>
          <w:ilvl w:val="0"/>
          <w:numId w:val="16"/>
        </w:numPr>
        <w:spacing w:before="120" w:beforeAutospacing="0" w:after="12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lastRenderedPageBreak/>
        <w:t>For consent-based processing, data is retained until consent is withdrawn. Retention may be extended if necessary for legal claims or compliance with legal obligations.</w:t>
      </w:r>
    </w:p>
    <w:p w14:paraId="70E72D9D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7. Data Subject Rights</w:t>
      </w:r>
    </w:p>
    <w:p w14:paraId="6FCDDA77" w14:textId="77777777" w:rsidR="00762936" w:rsidRPr="00AB2795" w:rsidRDefault="00762936" w:rsidP="00AB2795">
      <w:pPr>
        <w:pStyle w:val="NormalWeb"/>
        <w:spacing w:before="12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Users have the right to:</w:t>
      </w:r>
    </w:p>
    <w:p w14:paraId="61C3D4B6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AB2795">
        <w:rPr>
          <w:color w:val="000000"/>
          <w:sz w:val="22"/>
          <w:szCs w:val="22"/>
        </w:rPr>
        <w:t>access</w:t>
      </w:r>
      <w:proofErr w:type="spellEnd"/>
      <w:r w:rsidRPr="00AB2795">
        <w:rPr>
          <w:color w:val="000000"/>
          <w:sz w:val="22"/>
          <w:szCs w:val="22"/>
        </w:rPr>
        <w:t xml:space="preserve"> </w:t>
      </w:r>
      <w:proofErr w:type="spellStart"/>
      <w:r w:rsidRPr="00AB2795">
        <w:rPr>
          <w:color w:val="000000"/>
          <w:sz w:val="22"/>
          <w:szCs w:val="22"/>
        </w:rPr>
        <w:t>their</w:t>
      </w:r>
      <w:proofErr w:type="spellEnd"/>
      <w:r w:rsidRPr="00AB2795">
        <w:rPr>
          <w:color w:val="000000"/>
          <w:sz w:val="22"/>
          <w:szCs w:val="22"/>
        </w:rPr>
        <w:t xml:space="preserve"> data,</w:t>
      </w:r>
    </w:p>
    <w:p w14:paraId="4CB7243D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AB2795">
        <w:rPr>
          <w:color w:val="000000"/>
          <w:sz w:val="22"/>
          <w:szCs w:val="22"/>
        </w:rPr>
        <w:t>rectify</w:t>
      </w:r>
      <w:proofErr w:type="spellEnd"/>
      <w:r w:rsidRPr="00AB2795">
        <w:rPr>
          <w:color w:val="000000"/>
          <w:sz w:val="22"/>
          <w:szCs w:val="22"/>
        </w:rPr>
        <w:t xml:space="preserve"> </w:t>
      </w:r>
      <w:proofErr w:type="spellStart"/>
      <w:r w:rsidRPr="00AB2795">
        <w:rPr>
          <w:color w:val="000000"/>
          <w:sz w:val="22"/>
          <w:szCs w:val="22"/>
        </w:rPr>
        <w:t>their</w:t>
      </w:r>
      <w:proofErr w:type="spellEnd"/>
      <w:r w:rsidRPr="00AB2795">
        <w:rPr>
          <w:color w:val="000000"/>
          <w:sz w:val="22"/>
          <w:szCs w:val="22"/>
        </w:rPr>
        <w:t xml:space="preserve"> data,</w:t>
      </w:r>
    </w:p>
    <w:p w14:paraId="033DABDC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erase their data (“right to be forgotten”),</w:t>
      </w:r>
    </w:p>
    <w:p w14:paraId="2A31FD72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proofErr w:type="spellStart"/>
      <w:r w:rsidRPr="00AB2795">
        <w:rPr>
          <w:color w:val="000000"/>
          <w:sz w:val="22"/>
          <w:szCs w:val="22"/>
        </w:rPr>
        <w:t>restrict</w:t>
      </w:r>
      <w:proofErr w:type="spellEnd"/>
      <w:r w:rsidRPr="00AB2795">
        <w:rPr>
          <w:color w:val="000000"/>
          <w:sz w:val="22"/>
          <w:szCs w:val="22"/>
        </w:rPr>
        <w:t xml:space="preserve"> </w:t>
      </w:r>
      <w:proofErr w:type="spellStart"/>
      <w:r w:rsidRPr="00AB2795">
        <w:rPr>
          <w:color w:val="000000"/>
          <w:sz w:val="22"/>
          <w:szCs w:val="22"/>
        </w:rPr>
        <w:t>processing</w:t>
      </w:r>
      <w:proofErr w:type="spellEnd"/>
      <w:r w:rsidRPr="00AB2795">
        <w:rPr>
          <w:color w:val="000000"/>
          <w:sz w:val="22"/>
          <w:szCs w:val="22"/>
        </w:rPr>
        <w:t>,</w:t>
      </w:r>
    </w:p>
    <w:p w14:paraId="0F2CFD54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data portability (where technically feasible),</w:t>
      </w:r>
    </w:p>
    <w:p w14:paraId="1A3F4A64" w14:textId="77777777" w:rsidR="00AB2795" w:rsidRPr="00AB2795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object to processing,</w:t>
      </w:r>
    </w:p>
    <w:p w14:paraId="2E19B5B9" w14:textId="77777777" w:rsidR="00AB2795" w:rsidRPr="00BB0CD1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BB0CD1">
        <w:rPr>
          <w:color w:val="000000"/>
          <w:sz w:val="22"/>
          <w:szCs w:val="22"/>
          <w:lang w:val="en-US"/>
        </w:rPr>
        <w:t>withdraw consent at any time,</w:t>
      </w:r>
    </w:p>
    <w:p w14:paraId="0EF41A70" w14:textId="77777777" w:rsidR="00BB0CD1" w:rsidRPr="00BB0CD1" w:rsidRDefault="00762936" w:rsidP="00AB2795">
      <w:pPr>
        <w:pStyle w:val="NormalWeb"/>
        <w:numPr>
          <w:ilvl w:val="0"/>
          <w:numId w:val="12"/>
        </w:numPr>
        <w:spacing w:before="120" w:beforeAutospacing="0" w:after="120" w:afterAutospacing="0"/>
        <w:ind w:left="714" w:hanging="357"/>
        <w:jc w:val="both"/>
        <w:textAlignment w:val="baseline"/>
        <w:rPr>
          <w:color w:val="000000"/>
          <w:sz w:val="22"/>
          <w:szCs w:val="22"/>
          <w:lang w:val="en-US"/>
        </w:rPr>
      </w:pPr>
      <w:r w:rsidRPr="00BB0CD1">
        <w:rPr>
          <w:color w:val="000000"/>
          <w:sz w:val="22"/>
          <w:szCs w:val="22"/>
          <w:lang w:val="en-US"/>
        </w:rPr>
        <w:t>lodge a complaint with a supervisory authority</w:t>
      </w:r>
      <w:r w:rsidR="00BB0CD1" w:rsidRPr="00BB0CD1">
        <w:rPr>
          <w:color w:val="000000"/>
          <w:sz w:val="22"/>
          <w:szCs w:val="22"/>
          <w:lang w:val="en-US"/>
        </w:rPr>
        <w:t>.</w:t>
      </w:r>
    </w:p>
    <w:p w14:paraId="1671ED19" w14:textId="3331A19C" w:rsidR="00762936" w:rsidRPr="00D73479" w:rsidRDefault="00762936" w:rsidP="00D73479">
      <w:pPr>
        <w:spacing w:line="300" w:lineRule="atLeast"/>
        <w:rPr>
          <w:rFonts w:ascii="Times New Roman" w:eastAsia="Times New Roman" w:hAnsi="Times New Roman" w:cs="Times New Roman"/>
          <w:lang w:eastAsia="en-GB"/>
        </w:rPr>
      </w:pPr>
      <w:r w:rsidRPr="00BB0CD1">
        <w:rPr>
          <w:rFonts w:ascii="Times New Roman" w:hAnsi="Times New Roman" w:cs="Times New Roman"/>
          <w:color w:val="000000"/>
        </w:rPr>
        <w:t xml:space="preserve"> </w:t>
      </w:r>
      <w:r w:rsidR="00BB0CD1" w:rsidRPr="00BB0CD1">
        <w:rPr>
          <w:rFonts w:ascii="Times New Roman" w:eastAsia="Times New Roman" w:hAnsi="Times New Roman" w:cs="Times New Roman"/>
          <w:lang w:eastAsia="en-GB"/>
        </w:rPr>
        <w:t>In Luxembourg, the competent supervisory authority is the Commission Nationale pour la Protection des Données (CNPD): https://cnpd.public.lu</w:t>
      </w:r>
    </w:p>
    <w:p w14:paraId="2BA18830" w14:textId="1B830461" w:rsidR="00762936" w:rsidRPr="00AB2795" w:rsidRDefault="00762936" w:rsidP="00AB2795">
      <w:pPr>
        <w:pStyle w:val="NormalWeb"/>
        <w:spacing w:before="120" w:beforeAutospacing="0" w:after="12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To exercise these rights, please contact us at </w:t>
      </w:r>
      <w:r w:rsidR="0052038B" w:rsidRPr="0052038B">
        <w:rPr>
          <w:color w:val="000000"/>
          <w:sz w:val="22"/>
          <w:szCs w:val="22"/>
          <w:lang w:val="en-US"/>
        </w:rPr>
        <w:t>privacy@</w:t>
      </w:r>
      <w:r w:rsidR="0052038B" w:rsidRPr="00D67E52">
        <w:rPr>
          <w:color w:val="000000"/>
          <w:sz w:val="22"/>
          <w:szCs w:val="22"/>
          <w:lang w:val="en-US"/>
        </w:rPr>
        <w:t>aimediq.com</w:t>
      </w:r>
      <w:r w:rsidR="00082041" w:rsidRPr="00D67E52">
        <w:rPr>
          <w:color w:val="000000"/>
          <w:sz w:val="22"/>
          <w:szCs w:val="22"/>
          <w:lang w:val="en-US"/>
        </w:rPr>
        <w:t>.</w:t>
      </w:r>
    </w:p>
    <w:p w14:paraId="64041612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8. Data Security</w:t>
      </w:r>
    </w:p>
    <w:p w14:paraId="31560419" w14:textId="085364FC" w:rsidR="00AB2795" w:rsidRPr="00AB2795" w:rsidRDefault="00762936" w:rsidP="001B122C">
      <w:pPr>
        <w:pStyle w:val="NormalWeb"/>
        <w:numPr>
          <w:ilvl w:val="0"/>
          <w:numId w:val="17"/>
        </w:numPr>
        <w:spacing w:before="240" w:beforeAutospacing="0" w:after="24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We apply appropriate technical and </w:t>
      </w:r>
      <w:r w:rsidR="001B122C" w:rsidRPr="00AB2795">
        <w:rPr>
          <w:color w:val="000000"/>
          <w:sz w:val="22"/>
          <w:szCs w:val="22"/>
          <w:lang w:val="en-US"/>
        </w:rPr>
        <w:t>organizational</w:t>
      </w:r>
      <w:r w:rsidRPr="00AB2795">
        <w:rPr>
          <w:color w:val="000000"/>
          <w:sz w:val="22"/>
          <w:szCs w:val="22"/>
          <w:lang w:val="en-US"/>
        </w:rPr>
        <w:t xml:space="preserve"> measures (e.g. encryption, access control, backups, access limitations) to ensure confidentiality, integrity and availability of data.</w:t>
      </w:r>
    </w:p>
    <w:p w14:paraId="549F699A" w14:textId="335CD431" w:rsidR="00762936" w:rsidRPr="00AB2795" w:rsidRDefault="00762936" w:rsidP="001B122C">
      <w:pPr>
        <w:pStyle w:val="NormalWeb"/>
        <w:numPr>
          <w:ilvl w:val="0"/>
          <w:numId w:val="17"/>
        </w:numPr>
        <w:spacing w:before="240" w:beforeAutospacing="0" w:after="240" w:afterAutospacing="0"/>
        <w:ind w:left="714" w:hanging="357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Processors are required to apply adequate security measures. Access to data is limited to </w:t>
      </w:r>
      <w:r w:rsidR="001B122C" w:rsidRPr="00AB2795">
        <w:rPr>
          <w:color w:val="000000"/>
          <w:sz w:val="22"/>
          <w:szCs w:val="22"/>
          <w:lang w:val="en-US"/>
        </w:rPr>
        <w:t>authorized</w:t>
      </w:r>
      <w:r w:rsidRPr="00AB2795">
        <w:rPr>
          <w:color w:val="000000"/>
          <w:sz w:val="22"/>
          <w:szCs w:val="22"/>
          <w:lang w:val="en-US"/>
        </w:rPr>
        <w:t xml:space="preserve"> personnel only.</w:t>
      </w:r>
    </w:p>
    <w:p w14:paraId="02A31244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9. Cookies and Tracking Technologies</w:t>
      </w:r>
    </w:p>
    <w:p w14:paraId="45005B99" w14:textId="77777777" w:rsidR="00762936" w:rsidRPr="00AB2795" w:rsidRDefault="00762936" w:rsidP="001B122C">
      <w:pPr>
        <w:pStyle w:val="NormalWeb"/>
        <w:spacing w:before="240" w:beforeAutospacing="0" w:after="240" w:afterAutospacing="0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Ai </w:t>
      </w:r>
      <w:proofErr w:type="spellStart"/>
      <w:r w:rsidRPr="00AB2795">
        <w:rPr>
          <w:color w:val="000000"/>
          <w:sz w:val="22"/>
          <w:szCs w:val="22"/>
          <w:lang w:val="en-US"/>
        </w:rPr>
        <w:t>Mediq</w:t>
      </w:r>
      <w:proofErr w:type="spellEnd"/>
      <w:r w:rsidRPr="00AB2795">
        <w:rPr>
          <w:color w:val="000000"/>
          <w:sz w:val="22"/>
          <w:szCs w:val="22"/>
          <w:lang w:val="en-US"/>
        </w:rPr>
        <w:t xml:space="preserve"> uses cookies and similar technologies for functional and analytical purposes.</w:t>
      </w:r>
    </w:p>
    <w:p w14:paraId="39C6CC75" w14:textId="77777777" w:rsidR="00762936" w:rsidRPr="00AB2795" w:rsidRDefault="00762936" w:rsidP="001B122C">
      <w:pPr>
        <w:pStyle w:val="NormalWeb"/>
        <w:spacing w:before="240" w:beforeAutospacing="0" w:after="240" w:afterAutospacing="0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Essential cookies may be used without consent where permitted by law. Analytical/marketing cookies are used based on user consent.</w:t>
      </w:r>
    </w:p>
    <w:p w14:paraId="4EB21882" w14:textId="76D8B300" w:rsidR="00762936" w:rsidRPr="00AB2795" w:rsidRDefault="00762936" w:rsidP="001B122C">
      <w:pPr>
        <w:pStyle w:val="NormalWeb"/>
        <w:spacing w:before="240" w:beforeAutospacing="0" w:after="240" w:afterAutospacing="0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Users can manage cookie settings through the cookie banner or their browser settings. Detailed information is provided in the separate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hyperlink r:id="rId9" w:history="1">
        <w:r w:rsidRPr="00C71552">
          <w:rPr>
            <w:rStyle w:val="Hyperlink"/>
            <w:b/>
            <w:bCs/>
            <w:sz w:val="22"/>
            <w:szCs w:val="22"/>
            <w:lang w:val="en-US"/>
          </w:rPr>
          <w:t>Cookie Policy</w:t>
        </w:r>
      </w:hyperlink>
      <w:r w:rsidRPr="00C71552">
        <w:rPr>
          <w:color w:val="000000"/>
          <w:sz w:val="22"/>
          <w:szCs w:val="22"/>
          <w:lang w:val="en-US"/>
        </w:rPr>
        <w:t>.</w:t>
      </w:r>
    </w:p>
    <w:p w14:paraId="21631D2D" w14:textId="77777777" w:rsidR="00762936" w:rsidRPr="00AB2795" w:rsidRDefault="00762936" w:rsidP="00762936">
      <w:pPr>
        <w:pStyle w:val="Heading3"/>
        <w:spacing w:before="280" w:after="80"/>
        <w:rPr>
          <w:rFonts w:ascii="Times New Roman" w:hAnsi="Times New Roman" w:cs="Times New Roman"/>
          <w:color w:val="000000"/>
        </w:rPr>
      </w:pPr>
      <w:r w:rsidRPr="00AB2795">
        <w:rPr>
          <w:rFonts w:ascii="Times New Roman" w:hAnsi="Times New Roman" w:cs="Times New Roman"/>
          <w:color w:val="000000"/>
        </w:rPr>
        <w:t>10. Changes to the Privacy Policy</w:t>
      </w:r>
    </w:p>
    <w:p w14:paraId="72631B0A" w14:textId="77777777" w:rsidR="00762936" w:rsidRPr="00AB2795" w:rsidRDefault="00762936" w:rsidP="00AB2795">
      <w:pPr>
        <w:pStyle w:val="NormalWeb"/>
        <w:spacing w:before="240" w:beforeAutospacing="0" w:after="24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>We reserve the right to amend this Privacy Policy if required by legal changes or modifications to our services.</w:t>
      </w:r>
    </w:p>
    <w:p w14:paraId="356C2087" w14:textId="27FA5DBD" w:rsidR="00762936" w:rsidRPr="00402A13" w:rsidRDefault="00762936" w:rsidP="00402A13">
      <w:pPr>
        <w:pStyle w:val="NormalWeb"/>
        <w:spacing w:before="240" w:beforeAutospacing="0" w:after="240" w:afterAutospacing="0"/>
        <w:jc w:val="both"/>
        <w:rPr>
          <w:color w:val="000000"/>
          <w:sz w:val="22"/>
          <w:szCs w:val="22"/>
          <w:lang w:val="en-US"/>
        </w:rPr>
      </w:pPr>
      <w:r w:rsidRPr="00AB2795">
        <w:rPr>
          <w:color w:val="000000"/>
          <w:sz w:val="22"/>
          <w:szCs w:val="22"/>
          <w:lang w:val="en-US"/>
        </w:rPr>
        <w:t xml:space="preserve">For data protection matters, please contact us at: </w:t>
      </w:r>
      <w:r w:rsidR="00D67E52" w:rsidRPr="0052038B">
        <w:rPr>
          <w:color w:val="000000"/>
          <w:sz w:val="22"/>
          <w:szCs w:val="22"/>
          <w:lang w:val="en-US"/>
        </w:rPr>
        <w:t>privacy@</w:t>
      </w:r>
      <w:r w:rsidR="00D67E52" w:rsidRPr="00D67E52">
        <w:rPr>
          <w:color w:val="000000"/>
          <w:sz w:val="22"/>
          <w:szCs w:val="22"/>
          <w:lang w:val="en-US"/>
        </w:rPr>
        <w:t>aimediq.com.</w:t>
      </w:r>
    </w:p>
    <w:p w14:paraId="1E415E75" w14:textId="7A093465" w:rsidR="00F2206A" w:rsidRPr="00D67E52" w:rsidRDefault="00402A13" w:rsidP="001B122C">
      <w:pPr>
        <w:pStyle w:val="NormalWeb"/>
        <w:spacing w:before="240" w:beforeAutospacing="0" w:after="240" w:afterAutospacing="0"/>
        <w:rPr>
          <w:color w:val="000000"/>
          <w:sz w:val="22"/>
          <w:szCs w:val="22"/>
          <w:lang w:val="ru-RU"/>
        </w:rPr>
      </w:pPr>
      <w:r w:rsidRPr="00AB2795">
        <w:rPr>
          <w:b/>
          <w:bCs/>
          <w:color w:val="000000"/>
          <w:sz w:val="22"/>
          <w:szCs w:val="22"/>
          <w:lang w:val="en-US"/>
        </w:rPr>
        <w:t>Last updated:</w:t>
      </w:r>
      <w:r w:rsidRPr="00AB2795">
        <w:rPr>
          <w:rStyle w:val="apple-converted-space"/>
          <w:color w:val="000000"/>
          <w:sz w:val="22"/>
          <w:szCs w:val="22"/>
          <w:lang w:val="en-US"/>
        </w:rPr>
        <w:t> </w:t>
      </w:r>
      <w:r w:rsidR="00D67E52">
        <w:rPr>
          <w:color w:val="000000"/>
          <w:sz w:val="22"/>
          <w:szCs w:val="22"/>
          <w:lang w:val="ru-RU"/>
        </w:rPr>
        <w:t>24.02.2026</w:t>
      </w:r>
    </w:p>
    <w:sectPr w:rsidR="00F2206A" w:rsidRPr="00D67E52" w:rsidSect="007629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2695A"/>
    <w:multiLevelType w:val="multilevel"/>
    <w:tmpl w:val="D430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2C33E5"/>
    <w:multiLevelType w:val="hybridMultilevel"/>
    <w:tmpl w:val="3F38C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E28C0"/>
    <w:multiLevelType w:val="hybridMultilevel"/>
    <w:tmpl w:val="B2AA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521D1"/>
    <w:multiLevelType w:val="multilevel"/>
    <w:tmpl w:val="FFAC0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54C67"/>
    <w:multiLevelType w:val="hybridMultilevel"/>
    <w:tmpl w:val="B1A8F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43529"/>
    <w:multiLevelType w:val="hybridMultilevel"/>
    <w:tmpl w:val="5972D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80912"/>
    <w:multiLevelType w:val="multilevel"/>
    <w:tmpl w:val="A36E2B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B74FA0"/>
    <w:multiLevelType w:val="hybridMultilevel"/>
    <w:tmpl w:val="CE588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95FD3"/>
    <w:multiLevelType w:val="multilevel"/>
    <w:tmpl w:val="C6344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279882">
    <w:abstractNumId w:val="8"/>
  </w:num>
  <w:num w:numId="2" w16cid:durableId="1216505870">
    <w:abstractNumId w:val="6"/>
  </w:num>
  <w:num w:numId="3" w16cid:durableId="11539703">
    <w:abstractNumId w:val="5"/>
  </w:num>
  <w:num w:numId="4" w16cid:durableId="702942541">
    <w:abstractNumId w:val="4"/>
  </w:num>
  <w:num w:numId="5" w16cid:durableId="310212590">
    <w:abstractNumId w:val="7"/>
  </w:num>
  <w:num w:numId="6" w16cid:durableId="1443912061">
    <w:abstractNumId w:val="3"/>
  </w:num>
  <w:num w:numId="7" w16cid:durableId="1887989678">
    <w:abstractNumId w:val="2"/>
  </w:num>
  <w:num w:numId="8" w16cid:durableId="373970875">
    <w:abstractNumId w:val="1"/>
  </w:num>
  <w:num w:numId="9" w16cid:durableId="1434932110">
    <w:abstractNumId w:val="0"/>
  </w:num>
  <w:num w:numId="10" w16cid:durableId="327027534">
    <w:abstractNumId w:val="17"/>
  </w:num>
  <w:num w:numId="11" w16cid:durableId="594637037">
    <w:abstractNumId w:val="9"/>
  </w:num>
  <w:num w:numId="12" w16cid:durableId="432674473">
    <w:abstractNumId w:val="12"/>
  </w:num>
  <w:num w:numId="13" w16cid:durableId="739131190">
    <w:abstractNumId w:val="16"/>
  </w:num>
  <w:num w:numId="14" w16cid:durableId="1148325245">
    <w:abstractNumId w:val="11"/>
  </w:num>
  <w:num w:numId="15" w16cid:durableId="728191643">
    <w:abstractNumId w:val="10"/>
  </w:num>
  <w:num w:numId="16" w16cid:durableId="1964725659">
    <w:abstractNumId w:val="14"/>
  </w:num>
  <w:num w:numId="17" w16cid:durableId="11565928">
    <w:abstractNumId w:val="13"/>
  </w:num>
  <w:num w:numId="18" w16cid:durableId="18916478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793"/>
    <w:rsid w:val="0006063C"/>
    <w:rsid w:val="00082041"/>
    <w:rsid w:val="000B3711"/>
    <w:rsid w:val="001037F6"/>
    <w:rsid w:val="0015074B"/>
    <w:rsid w:val="00185870"/>
    <w:rsid w:val="001B122C"/>
    <w:rsid w:val="0029639D"/>
    <w:rsid w:val="00326F90"/>
    <w:rsid w:val="00402A13"/>
    <w:rsid w:val="00517E2D"/>
    <w:rsid w:val="0052038B"/>
    <w:rsid w:val="005F6F15"/>
    <w:rsid w:val="00762936"/>
    <w:rsid w:val="007A2386"/>
    <w:rsid w:val="008619E0"/>
    <w:rsid w:val="009B64E9"/>
    <w:rsid w:val="009D312E"/>
    <w:rsid w:val="00A04AB7"/>
    <w:rsid w:val="00AA1D8D"/>
    <w:rsid w:val="00AB2795"/>
    <w:rsid w:val="00B47730"/>
    <w:rsid w:val="00BB0CD1"/>
    <w:rsid w:val="00C25FE4"/>
    <w:rsid w:val="00C71552"/>
    <w:rsid w:val="00CB0664"/>
    <w:rsid w:val="00D67E52"/>
    <w:rsid w:val="00D73479"/>
    <w:rsid w:val="00E02BC4"/>
    <w:rsid w:val="00F072B3"/>
    <w:rsid w:val="00F2206A"/>
    <w:rsid w:val="00F655A9"/>
    <w:rsid w:val="00FC4E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1840B"/>
  <w14:defaultImageDpi w14:val="300"/>
  <w15:docId w15:val="{C28FEF36-B5E8-DC40-B950-A012D0C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6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762936"/>
  </w:style>
  <w:style w:type="character" w:styleId="CommentReference">
    <w:name w:val="annotation reference"/>
    <w:basedOn w:val="DefaultParagraphFont"/>
    <w:uiPriority w:val="99"/>
    <w:semiHidden/>
    <w:unhideWhenUsed/>
    <w:rsid w:val="00762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9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93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3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5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imediq.com/wp-content/uploads/2026/03/13_Cookies-Policy-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f5e353-e1c4-4abd-8446-e6017c62c81c" xsi:nil="true"/>
    <lcf76f155ced4ddcb4097134ff3c332f xmlns="538dfe20-d40b-4551-b1ae-802f640acf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3BD9D9792B34CA7DB5C03EF609BD0" ma:contentTypeVersion="11" ma:contentTypeDescription="Create a new document." ma:contentTypeScope="" ma:versionID="527faa7f843b54827af150c397d56945">
  <xsd:schema xmlns:xsd="http://www.w3.org/2001/XMLSchema" xmlns:xs="http://www.w3.org/2001/XMLSchema" xmlns:p="http://schemas.microsoft.com/office/2006/metadata/properties" xmlns:ns2="538dfe20-d40b-4551-b1ae-802f640acf11" xmlns:ns3="10f5e353-e1c4-4abd-8446-e6017c62c81c" targetNamespace="http://schemas.microsoft.com/office/2006/metadata/properties" ma:root="true" ma:fieldsID="ce0241900c3f9c4c951d28b409b3540b" ns2:_="" ns3:_="">
    <xsd:import namespace="538dfe20-d40b-4551-b1ae-802f640acf11"/>
    <xsd:import namespace="10f5e353-e1c4-4abd-8446-e6017c62c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fe20-d40b-4551-b1ae-802f640ac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203efc-514e-439e-8847-ab2b457b4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5e353-e1c4-4abd-8446-e6017c62c8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45bc2-a6a2-49af-935d-b62cf7c5ed5b}" ma:internalName="TaxCatchAll" ma:showField="CatchAllData" ma:web="10f5e353-e1c4-4abd-8446-e6017c62c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AEA928-43B6-4747-91EF-D876695D8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89738-1A99-4DC6-BAC3-33AE0004A334}">
  <ds:schemaRefs>
    <ds:schemaRef ds:uri="http://schemas.microsoft.com/office/2006/metadata/properties"/>
    <ds:schemaRef ds:uri="http://schemas.microsoft.com/office/infopath/2007/PartnerControls"/>
    <ds:schemaRef ds:uri="10f5e353-e1c4-4abd-8446-e6017c62c81c"/>
    <ds:schemaRef ds:uri="538dfe20-d40b-4551-b1ae-802f640acf11"/>
  </ds:schemaRefs>
</ds:datastoreItem>
</file>

<file path=customXml/itemProps3.xml><?xml version="1.0" encoding="utf-8"?>
<ds:datastoreItem xmlns:ds="http://schemas.openxmlformats.org/officeDocument/2006/customXml" ds:itemID="{DA26E965-FE4D-400B-A40D-AC642509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fe20-d40b-4551-b1ae-802f640acf11"/>
    <ds:schemaRef ds:uri="10f5e353-e1c4-4abd-8446-e6017c62c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C197D7-4FB0-B349-8A89-F94F9935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791</Words>
  <Characters>4661</Characters>
  <Application>Microsoft Office Word</Application>
  <DocSecurity>0</DocSecurity>
  <Lines>116</Lines>
  <Paragraphs>82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Andriej Michajlowski</cp:lastModifiedBy>
  <cp:revision>9</cp:revision>
  <cp:lastPrinted>2026-02-24T12:58:00Z</cp:lastPrinted>
  <dcterms:created xsi:type="dcterms:W3CDTF">2026-02-24T12:58:00Z</dcterms:created>
  <dcterms:modified xsi:type="dcterms:W3CDTF">2026-03-03T13:12:00Z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0x0101005633BD9D9792B34CA7DB5C03EF609BD0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